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1BB" w14:textId="77777777" w:rsidR="00565A14" w:rsidRDefault="00565A14" w:rsidP="001F2BE0">
      <w:pPr>
        <w:jc w:val="center"/>
        <w:rPr>
          <w:b/>
          <w:sz w:val="32"/>
          <w:szCs w:val="24"/>
        </w:rPr>
      </w:pPr>
    </w:p>
    <w:p w14:paraId="715017BF" w14:textId="49263518" w:rsidR="00A262EF" w:rsidRDefault="00EF5EEA" w:rsidP="001F2BE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EAB </w:t>
      </w:r>
      <w:r w:rsidR="005B02EE">
        <w:rPr>
          <w:b/>
          <w:sz w:val="32"/>
          <w:szCs w:val="24"/>
        </w:rPr>
        <w:t xml:space="preserve">INVESTMENT GROUP </w:t>
      </w:r>
      <w:r w:rsidR="00E2319A">
        <w:rPr>
          <w:b/>
          <w:sz w:val="32"/>
          <w:szCs w:val="24"/>
        </w:rPr>
        <w:t xml:space="preserve">ANNOUNCES </w:t>
      </w:r>
      <w:r w:rsidR="005B02EE">
        <w:rPr>
          <w:b/>
          <w:sz w:val="32"/>
          <w:szCs w:val="24"/>
        </w:rPr>
        <w:t>PARTNERS</w:t>
      </w:r>
      <w:r w:rsidR="00E2319A">
        <w:rPr>
          <w:b/>
          <w:sz w:val="32"/>
          <w:szCs w:val="24"/>
        </w:rPr>
        <w:t>HIP</w:t>
      </w:r>
      <w:r w:rsidR="005B02EE">
        <w:rPr>
          <w:b/>
          <w:sz w:val="32"/>
          <w:szCs w:val="24"/>
        </w:rPr>
        <w:t xml:space="preserve"> TO OFFER </w:t>
      </w:r>
      <w:r w:rsidR="00E2319A" w:rsidRPr="00E2319A">
        <w:rPr>
          <w:b/>
          <w:sz w:val="32"/>
          <w:szCs w:val="24"/>
        </w:rPr>
        <w:t>INSTITUTIONAL</w:t>
      </w:r>
      <w:r w:rsidR="00E2319A">
        <w:rPr>
          <w:b/>
          <w:sz w:val="32"/>
          <w:szCs w:val="24"/>
        </w:rPr>
        <w:t xml:space="preserve"> </w:t>
      </w:r>
      <w:r w:rsidR="00B84CC3">
        <w:rPr>
          <w:b/>
          <w:sz w:val="32"/>
          <w:szCs w:val="24"/>
        </w:rPr>
        <w:t>RISK</w:t>
      </w:r>
      <w:r w:rsidR="005B02EE">
        <w:rPr>
          <w:b/>
          <w:sz w:val="32"/>
          <w:szCs w:val="24"/>
        </w:rPr>
        <w:t>-MITIGATION</w:t>
      </w:r>
      <w:r w:rsidR="00B84CC3">
        <w:rPr>
          <w:b/>
          <w:sz w:val="32"/>
          <w:szCs w:val="24"/>
        </w:rPr>
        <w:t xml:space="preserve"> SOLUTIONS</w:t>
      </w:r>
    </w:p>
    <w:p w14:paraId="03AF2DC1" w14:textId="77777777" w:rsidR="00A262EF" w:rsidRPr="004A437C" w:rsidRDefault="00A262EF" w:rsidP="00932236">
      <w:pPr>
        <w:rPr>
          <w:iCs/>
          <w:szCs w:val="24"/>
        </w:rPr>
      </w:pPr>
    </w:p>
    <w:p w14:paraId="5718FB20" w14:textId="77777777" w:rsidR="00565A14" w:rsidRDefault="00565A14" w:rsidP="00010599">
      <w:pPr>
        <w:rPr>
          <w:b/>
          <w:color w:val="000000"/>
        </w:rPr>
      </w:pPr>
    </w:p>
    <w:p w14:paraId="2B1925E8" w14:textId="5270685F" w:rsidR="00932236" w:rsidRDefault="00CA1F4A" w:rsidP="00010599">
      <w:r>
        <w:rPr>
          <w:b/>
          <w:color w:val="000000"/>
        </w:rPr>
        <w:t>PHILADELPHIA</w:t>
      </w:r>
      <w:r w:rsidR="00E95A33">
        <w:rPr>
          <w:b/>
          <w:color w:val="000000"/>
        </w:rPr>
        <w:t>,</w:t>
      </w:r>
      <w:r w:rsidR="008B3A36">
        <w:rPr>
          <w:b/>
          <w:color w:val="000000"/>
        </w:rPr>
        <w:t xml:space="preserve"> </w:t>
      </w:r>
      <w:r w:rsidR="00495EE3">
        <w:rPr>
          <w:b/>
          <w:color w:val="000000"/>
        </w:rPr>
        <w:t>PA, July 15,</w:t>
      </w:r>
      <w:r w:rsidR="008B3A36">
        <w:rPr>
          <w:b/>
        </w:rPr>
        <w:t>20</w:t>
      </w:r>
      <w:r w:rsidR="00BF5241">
        <w:rPr>
          <w:b/>
        </w:rPr>
        <w:t>21</w:t>
      </w:r>
      <w:r w:rsidR="008B3A36">
        <w:t xml:space="preserve"> –</w:t>
      </w:r>
      <w:r w:rsidR="00854145">
        <w:t xml:space="preserve"> </w:t>
      </w:r>
      <w:hyperlink r:id="rId8" w:history="1">
        <w:r w:rsidR="00854145" w:rsidRPr="00E12E2E">
          <w:rPr>
            <w:rStyle w:val="Hyperlink"/>
          </w:rPr>
          <w:t>EAB Investment Group</w:t>
        </w:r>
      </w:hyperlink>
      <w:r w:rsidR="00854145">
        <w:t xml:space="preserve">, </w:t>
      </w:r>
      <w:r w:rsidR="00854145" w:rsidRPr="00854145">
        <w:t>a</w:t>
      </w:r>
      <w:r w:rsidR="00854145">
        <w:t>n</w:t>
      </w:r>
      <w:r w:rsidR="00854145" w:rsidRPr="00854145">
        <w:t xml:space="preserve"> SEC</w:t>
      </w:r>
      <w:r w:rsidR="00854145">
        <w:t>-r</w:t>
      </w:r>
      <w:r w:rsidR="00854145" w:rsidRPr="00854145">
        <w:t>egistered investment advisor providing a series of proprietary alpha</w:t>
      </w:r>
      <w:r w:rsidR="00854145">
        <w:t>-</w:t>
      </w:r>
      <w:r w:rsidR="00854145" w:rsidRPr="00854145">
        <w:t>generating and risk</w:t>
      </w:r>
      <w:r w:rsidR="00854145">
        <w:t>-</w:t>
      </w:r>
      <w:r w:rsidR="00854145" w:rsidRPr="00854145">
        <w:t>mitigating strategies to advisory clients, announced today that it</w:t>
      </w:r>
      <w:r w:rsidR="00E12E2E">
        <w:t xml:space="preserve"> </w:t>
      </w:r>
      <w:r w:rsidR="00BC3964">
        <w:t>is collaborating with</w:t>
      </w:r>
      <w:r w:rsidR="006E30C0">
        <w:t xml:space="preserve"> asset management company </w:t>
      </w:r>
      <w:hyperlink r:id="rId9" w:history="1">
        <w:r w:rsidR="006E30C0" w:rsidRPr="004F4375">
          <w:rPr>
            <w:rStyle w:val="Hyperlink"/>
          </w:rPr>
          <w:t>Easterly</w:t>
        </w:r>
      </w:hyperlink>
      <w:r w:rsidR="006E30C0">
        <w:t xml:space="preserve"> to </w:t>
      </w:r>
      <w:r w:rsidR="00932236">
        <w:t>form</w:t>
      </w:r>
      <w:r w:rsidR="00C72ACB">
        <w:t xml:space="preserve"> </w:t>
      </w:r>
      <w:hyperlink r:id="rId10" w:history="1">
        <w:r w:rsidR="00013E9D" w:rsidRPr="00013ACA">
          <w:rPr>
            <w:rStyle w:val="Hyperlink"/>
          </w:rPr>
          <w:t>Easterly</w:t>
        </w:r>
        <w:r w:rsidR="00013ACA" w:rsidRPr="00013ACA">
          <w:rPr>
            <w:rStyle w:val="Hyperlink"/>
          </w:rPr>
          <w:t xml:space="preserve"> EAB</w:t>
        </w:r>
      </w:hyperlink>
      <w:r w:rsidR="005465A4">
        <w:rPr>
          <w:rStyle w:val="Hyperlink"/>
        </w:rPr>
        <w:t xml:space="preserve"> Risk Solutions LLC</w:t>
      </w:r>
      <w:r w:rsidR="005B02EE">
        <w:t xml:space="preserve"> and </w:t>
      </w:r>
      <w:r w:rsidR="001F0F0A">
        <w:t>offer</w:t>
      </w:r>
      <w:r w:rsidR="00932236">
        <w:t xml:space="preserve"> </w:t>
      </w:r>
      <w:r w:rsidR="005B02EE">
        <w:t xml:space="preserve">a Hedged Equity </w:t>
      </w:r>
      <w:r w:rsidR="002B0D07">
        <w:t xml:space="preserve">Strategy </w:t>
      </w:r>
      <w:r w:rsidR="005B02EE">
        <w:t xml:space="preserve">and other </w:t>
      </w:r>
      <w:r w:rsidR="00794BD2" w:rsidRPr="00013ACA">
        <w:t>risk</w:t>
      </w:r>
      <w:r w:rsidR="00794BD2">
        <w:t>-</w:t>
      </w:r>
      <w:r w:rsidR="00794BD2" w:rsidRPr="00013ACA">
        <w:t>mitigation solutions</w:t>
      </w:r>
      <w:r w:rsidR="00794BD2">
        <w:t>.</w:t>
      </w:r>
    </w:p>
    <w:p w14:paraId="1A30E02F" w14:textId="60153600" w:rsidR="00794BD2" w:rsidRDefault="00794BD2" w:rsidP="00010599"/>
    <w:p w14:paraId="430D1D4C" w14:textId="6283996E" w:rsidR="00D71C07" w:rsidRDefault="000C4CCB" w:rsidP="00D71C07">
      <w:r>
        <w:t xml:space="preserve">“In today’s volatile markets, </w:t>
      </w:r>
      <w:r w:rsidR="00714F06">
        <w:t xml:space="preserve">a key priority for </w:t>
      </w:r>
      <w:r>
        <w:t xml:space="preserve">institutional investors </w:t>
      </w:r>
      <w:r w:rsidR="00714F06">
        <w:t>is</w:t>
      </w:r>
      <w:r>
        <w:t xml:space="preserve"> to manage risk in </w:t>
      </w:r>
      <w:r w:rsidR="00B7079F">
        <w:t>accord</w:t>
      </w:r>
      <w:r w:rsidR="00983F26">
        <w:t>ance</w:t>
      </w:r>
      <w:r w:rsidR="00B7079F">
        <w:t xml:space="preserve"> </w:t>
      </w:r>
      <w:r>
        <w:t xml:space="preserve">with their mandates,” said Edward Boll, </w:t>
      </w:r>
      <w:r w:rsidR="002D4898">
        <w:t xml:space="preserve">Founder </w:t>
      </w:r>
      <w:r>
        <w:t xml:space="preserve">of EAB Investment Group and </w:t>
      </w:r>
      <w:r w:rsidRPr="000C4CCB">
        <w:t>Easterly EAB</w:t>
      </w:r>
      <w:r>
        <w:t xml:space="preserve"> Risk Solutions. “We apply our experience in the markets to use derivatives and other </w:t>
      </w:r>
      <w:r w:rsidR="00B5441C" w:rsidRPr="00B5441C">
        <w:t>option-based risk mitigation techniques</w:t>
      </w:r>
      <w:r w:rsidR="00B5441C">
        <w:t xml:space="preserve"> </w:t>
      </w:r>
      <w:r w:rsidR="00D71C07">
        <w:t xml:space="preserve">as the </w:t>
      </w:r>
      <w:r w:rsidR="00661636">
        <w:t>foundation</w:t>
      </w:r>
      <w:r w:rsidR="00D71C07">
        <w:t xml:space="preserve"> for</w:t>
      </w:r>
      <w:r w:rsidR="00B5441C">
        <w:t xml:space="preserve"> </w:t>
      </w:r>
      <w:r w:rsidR="00C70EDB">
        <w:t xml:space="preserve">innovative, </w:t>
      </w:r>
      <w:r w:rsidR="00B5441C">
        <w:t>complex solutions</w:t>
      </w:r>
      <w:r w:rsidR="00D71C07">
        <w:t xml:space="preserve"> that provide </w:t>
      </w:r>
      <w:r w:rsidR="00714F06">
        <w:t xml:space="preserve">needed </w:t>
      </w:r>
      <w:r w:rsidR="00D71C07">
        <w:t>volatility</w:t>
      </w:r>
      <w:r w:rsidR="00714F06">
        <w:t xml:space="preserve"> dampening in investment portfolios</w:t>
      </w:r>
      <w:r w:rsidR="00C70EDB">
        <w:t>.</w:t>
      </w:r>
      <w:r w:rsidR="00D71C07">
        <w:t>”</w:t>
      </w:r>
    </w:p>
    <w:p w14:paraId="21E1ADC2" w14:textId="69D3BF65" w:rsidR="00714F06" w:rsidRDefault="00714F06" w:rsidP="00D71C07"/>
    <w:p w14:paraId="5B94DD35" w14:textId="51D2D488" w:rsidR="000C4CCB" w:rsidRDefault="00BD5E00" w:rsidP="00010599">
      <w:r>
        <w:t xml:space="preserve">Easterly EAB uses </w:t>
      </w:r>
      <w:r w:rsidRPr="00EF5EEA">
        <w:t>defensive equity and derivatives strategies</w:t>
      </w:r>
      <w:r>
        <w:t xml:space="preserve"> that reduce drawdowns and correlation risks in declining markets </w:t>
      </w:r>
      <w:r w:rsidRPr="00EF5EEA">
        <w:t xml:space="preserve">while </w:t>
      </w:r>
      <w:r>
        <w:t xml:space="preserve">enabling clients to remain invested and participate in </w:t>
      </w:r>
      <w:r w:rsidR="00661684">
        <w:t>rising ones</w:t>
      </w:r>
      <w:r>
        <w:t xml:space="preserve">. </w:t>
      </w:r>
      <w:r w:rsidR="00CD3775">
        <w:t xml:space="preserve">The Hedged Equity </w:t>
      </w:r>
      <w:r w:rsidR="00411141">
        <w:t>Strategy</w:t>
      </w:r>
      <w:r w:rsidR="00CD3775">
        <w:t xml:space="preserve">, for instance, combines </w:t>
      </w:r>
      <w:r w:rsidR="00CD3775" w:rsidRPr="00CD3775">
        <w:t>a long S&amp;P 500 core equity position with option-based risk mitigation techniques</w:t>
      </w:r>
      <w:r w:rsidR="00CD3775">
        <w:t xml:space="preserve"> to reduce downside volatility</w:t>
      </w:r>
      <w:r w:rsidR="00C23523">
        <w:t xml:space="preserve"> and improve correlation patterns</w:t>
      </w:r>
      <w:r w:rsidR="00CD3775">
        <w:t xml:space="preserve"> </w:t>
      </w:r>
      <w:r w:rsidR="00C23523">
        <w:t>with</w:t>
      </w:r>
      <w:r w:rsidR="00CD3775">
        <w:t>in portfolios.</w:t>
      </w:r>
      <w:r w:rsidR="00E20ADB">
        <w:t xml:space="preserve"> </w:t>
      </w:r>
    </w:p>
    <w:p w14:paraId="2077377A" w14:textId="1897F740" w:rsidR="00CD3775" w:rsidRDefault="00CD3775" w:rsidP="00010599"/>
    <w:p w14:paraId="7CABFDF8" w14:textId="4A3F5D3B" w:rsidR="00CD3775" w:rsidRDefault="00F577EE" w:rsidP="00CD3775">
      <w:pPr>
        <w:rPr>
          <w:color w:val="000000"/>
          <w:szCs w:val="24"/>
        </w:rPr>
      </w:pPr>
      <w:r>
        <w:rPr>
          <w:color w:val="000000"/>
          <w:szCs w:val="24"/>
        </w:rPr>
        <w:t>Easterly EAB’s investment solutions are</w:t>
      </w:r>
      <w:r w:rsidR="00CD3775">
        <w:rPr>
          <w:color w:val="000000"/>
          <w:szCs w:val="24"/>
        </w:rPr>
        <w:t xml:space="preserve"> managed </w:t>
      </w:r>
      <w:r w:rsidR="00CD3775" w:rsidRPr="00D27D6E">
        <w:rPr>
          <w:color w:val="000000"/>
          <w:szCs w:val="24"/>
        </w:rPr>
        <w:t xml:space="preserve">by investment professionals </w:t>
      </w:r>
      <w:r w:rsidR="00CD3775">
        <w:rPr>
          <w:color w:val="000000"/>
          <w:szCs w:val="24"/>
        </w:rPr>
        <w:t xml:space="preserve">with expertise in both </w:t>
      </w:r>
      <w:r w:rsidR="00CD3775" w:rsidRPr="00D27D6E">
        <w:rPr>
          <w:color w:val="000000"/>
          <w:szCs w:val="24"/>
        </w:rPr>
        <w:t>equity invest</w:t>
      </w:r>
      <w:r w:rsidR="00CD3775">
        <w:rPr>
          <w:color w:val="000000"/>
          <w:szCs w:val="24"/>
        </w:rPr>
        <w:t>ments and</w:t>
      </w:r>
      <w:r w:rsidR="00CD3775" w:rsidRPr="00D27D6E">
        <w:rPr>
          <w:color w:val="000000"/>
          <w:szCs w:val="24"/>
        </w:rPr>
        <w:t xml:space="preserve"> options</w:t>
      </w:r>
      <w:r w:rsidR="00CD3775">
        <w:rPr>
          <w:color w:val="000000"/>
          <w:szCs w:val="24"/>
        </w:rPr>
        <w:t xml:space="preserve">. </w:t>
      </w:r>
      <w:r w:rsidR="00CD3775" w:rsidRPr="004A2B71">
        <w:rPr>
          <w:color w:val="000000"/>
          <w:szCs w:val="24"/>
        </w:rPr>
        <w:t>Arnim S. Holzer</w:t>
      </w:r>
      <w:r w:rsidR="00CD3775">
        <w:rPr>
          <w:color w:val="000000"/>
          <w:szCs w:val="24"/>
        </w:rPr>
        <w:t xml:space="preserve">, </w:t>
      </w:r>
      <w:r w:rsidR="00CD3775" w:rsidRPr="004A2B71">
        <w:rPr>
          <w:color w:val="000000"/>
          <w:szCs w:val="24"/>
        </w:rPr>
        <w:t>Global Macro Strategist</w:t>
      </w:r>
      <w:r w:rsidR="00CD3775">
        <w:rPr>
          <w:color w:val="000000"/>
          <w:szCs w:val="24"/>
        </w:rPr>
        <w:t xml:space="preserve"> and Client Portfolio Manager at Easterly EAB and a member of its Investment Committee, said, “In today’s market environment, institutional investors don’t have the luxury of simply stepping away when volatility strikes. </w:t>
      </w:r>
      <w:r w:rsidR="00F030BC">
        <w:rPr>
          <w:color w:val="000000"/>
          <w:szCs w:val="24"/>
        </w:rPr>
        <w:t>One recent study found that missing just the 10 best days the markets were open during the past 20 years would have reduced returns by more than half.</w:t>
      </w:r>
      <w:r w:rsidR="00411141">
        <w:rPr>
          <w:rStyle w:val="FootnoteReference"/>
          <w:color w:val="000000"/>
          <w:szCs w:val="24"/>
        </w:rPr>
        <w:footnoteReference w:id="1"/>
      </w:r>
      <w:r w:rsidR="00F030BC">
        <w:rPr>
          <w:color w:val="000000"/>
          <w:szCs w:val="24"/>
        </w:rPr>
        <w:t xml:space="preserve"> Investors </w:t>
      </w:r>
      <w:r w:rsidR="00AB165C">
        <w:rPr>
          <w:color w:val="000000"/>
          <w:szCs w:val="24"/>
        </w:rPr>
        <w:t xml:space="preserve">shouldn’t try to time the markets but instead </w:t>
      </w:r>
      <w:r w:rsidR="00E20ADB">
        <w:rPr>
          <w:color w:val="000000"/>
          <w:szCs w:val="24"/>
        </w:rPr>
        <w:t>remain invested</w:t>
      </w:r>
      <w:r w:rsidR="00F030BC">
        <w:rPr>
          <w:color w:val="000000"/>
          <w:szCs w:val="24"/>
        </w:rPr>
        <w:t xml:space="preserve"> and </w:t>
      </w:r>
      <w:r w:rsidR="00E20ADB">
        <w:rPr>
          <w:color w:val="000000"/>
          <w:szCs w:val="24"/>
        </w:rPr>
        <w:t>seek to control</w:t>
      </w:r>
      <w:r w:rsidR="00F030BC">
        <w:rPr>
          <w:color w:val="000000"/>
          <w:szCs w:val="24"/>
        </w:rPr>
        <w:t xml:space="preserve"> risk</w:t>
      </w:r>
      <w:r w:rsidR="00411141">
        <w:rPr>
          <w:color w:val="000000"/>
          <w:szCs w:val="24"/>
        </w:rPr>
        <w:t>, and our strategies are intended to help them do so</w:t>
      </w:r>
      <w:r w:rsidR="00F030BC">
        <w:rPr>
          <w:color w:val="000000"/>
          <w:szCs w:val="24"/>
        </w:rPr>
        <w:t>.”</w:t>
      </w:r>
    </w:p>
    <w:p w14:paraId="0AF4358D" w14:textId="55B70FB4" w:rsidR="009A4617" w:rsidRDefault="009A4617" w:rsidP="00CD3775">
      <w:pPr>
        <w:rPr>
          <w:color w:val="000000"/>
          <w:szCs w:val="24"/>
        </w:rPr>
      </w:pPr>
    </w:p>
    <w:p w14:paraId="003CB9CF" w14:textId="5553D053" w:rsidR="00411141" w:rsidRDefault="009A4617" w:rsidP="00CD3775">
      <w:pPr>
        <w:rPr>
          <w:color w:val="000000"/>
          <w:szCs w:val="24"/>
        </w:rPr>
      </w:pPr>
      <w:r>
        <w:rPr>
          <w:color w:val="000000"/>
          <w:szCs w:val="24"/>
        </w:rPr>
        <w:t>“Last year, the S&amp;P 500 Index gained or lost one percent or more on 42 percent of the days the market</w:t>
      </w:r>
      <w:r w:rsidR="00E20ADB">
        <w:rPr>
          <w:color w:val="000000"/>
          <w:szCs w:val="24"/>
        </w:rPr>
        <w:t>s were</w:t>
      </w:r>
      <w:r>
        <w:rPr>
          <w:color w:val="000000"/>
          <w:szCs w:val="24"/>
        </w:rPr>
        <w:t xml:space="preserve"> open.</w:t>
      </w:r>
      <w:r w:rsidR="002630AB">
        <w:rPr>
          <w:rStyle w:val="FootnoteReference"/>
          <w:color w:val="000000"/>
          <w:szCs w:val="24"/>
        </w:rPr>
        <w:footnoteReference w:id="2"/>
      </w:r>
      <w:r>
        <w:rPr>
          <w:color w:val="000000"/>
          <w:szCs w:val="24"/>
        </w:rPr>
        <w:t xml:space="preserve"> That’s not volatility – that’s normality,</w:t>
      </w:r>
      <w:r w:rsidR="00E20ADB">
        <w:rPr>
          <w:color w:val="000000"/>
          <w:szCs w:val="24"/>
        </w:rPr>
        <w:t xml:space="preserve"> and investors need to plan for it,</w:t>
      </w:r>
      <w:r>
        <w:rPr>
          <w:color w:val="000000"/>
          <w:szCs w:val="24"/>
        </w:rPr>
        <w:t xml:space="preserve">” said </w:t>
      </w:r>
      <w:r w:rsidRPr="00EC2583">
        <w:rPr>
          <w:color w:val="000000"/>
          <w:szCs w:val="24"/>
        </w:rPr>
        <w:t>Easterly</w:t>
      </w:r>
      <w:r w:rsidRPr="00BF4B3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EAB Managing Principal</w:t>
      </w:r>
      <w:r w:rsidRPr="00EC2583">
        <w:rPr>
          <w:color w:val="000000"/>
          <w:szCs w:val="24"/>
        </w:rPr>
        <w:t xml:space="preserve"> Darrell Crate</w:t>
      </w:r>
      <w:r>
        <w:rPr>
          <w:color w:val="000000"/>
          <w:szCs w:val="24"/>
        </w:rPr>
        <w:t>. “</w:t>
      </w:r>
      <w:r w:rsidR="00795C9D">
        <w:rPr>
          <w:color w:val="000000"/>
          <w:szCs w:val="24"/>
        </w:rPr>
        <w:t xml:space="preserve">Moreover, good and bad days often occur in </w:t>
      </w:r>
      <w:proofErr w:type="gramStart"/>
      <w:r w:rsidR="00795C9D">
        <w:rPr>
          <w:color w:val="000000"/>
          <w:szCs w:val="24"/>
        </w:rPr>
        <w:t>close proximity</w:t>
      </w:r>
      <w:proofErr w:type="gramEnd"/>
      <w:r w:rsidR="00795C9D">
        <w:rPr>
          <w:color w:val="000000"/>
          <w:szCs w:val="24"/>
        </w:rPr>
        <w:t xml:space="preserve">. </w:t>
      </w:r>
      <w:r w:rsidR="00656F7C">
        <w:rPr>
          <w:color w:val="000000"/>
          <w:szCs w:val="24"/>
        </w:rPr>
        <w:t>In 2020, t</w:t>
      </w:r>
      <w:r w:rsidR="00795C9D">
        <w:rPr>
          <w:color w:val="000000"/>
          <w:szCs w:val="24"/>
        </w:rPr>
        <w:t xml:space="preserve">he </w:t>
      </w:r>
      <w:proofErr w:type="gramStart"/>
      <w:r w:rsidR="00795C9D">
        <w:rPr>
          <w:color w:val="000000"/>
          <w:szCs w:val="24"/>
        </w:rPr>
        <w:t>second</w:t>
      </w:r>
      <w:r w:rsidR="00656F7C">
        <w:rPr>
          <w:color w:val="000000"/>
          <w:szCs w:val="24"/>
        </w:rPr>
        <w:t>-</w:t>
      </w:r>
      <w:r w:rsidR="00795C9D">
        <w:rPr>
          <w:color w:val="000000"/>
          <w:szCs w:val="24"/>
        </w:rPr>
        <w:t>worst</w:t>
      </w:r>
      <w:proofErr w:type="gramEnd"/>
      <w:r w:rsidR="00795C9D">
        <w:rPr>
          <w:color w:val="000000"/>
          <w:szCs w:val="24"/>
        </w:rPr>
        <w:t xml:space="preserve"> and second</w:t>
      </w:r>
      <w:r w:rsidR="00656F7C">
        <w:rPr>
          <w:color w:val="000000"/>
          <w:szCs w:val="24"/>
        </w:rPr>
        <w:t>-</w:t>
      </w:r>
      <w:r w:rsidR="00795C9D">
        <w:rPr>
          <w:color w:val="000000"/>
          <w:szCs w:val="24"/>
        </w:rPr>
        <w:t xml:space="preserve">best days of </w:t>
      </w:r>
      <w:r w:rsidR="00656F7C">
        <w:rPr>
          <w:color w:val="000000"/>
          <w:szCs w:val="24"/>
        </w:rPr>
        <w:t>the year</w:t>
      </w:r>
      <w:r w:rsidR="00795C9D">
        <w:rPr>
          <w:color w:val="000000"/>
          <w:szCs w:val="24"/>
        </w:rPr>
        <w:t xml:space="preserve"> followed one </w:t>
      </w:r>
      <w:r w:rsidR="00E20ADB">
        <w:rPr>
          <w:color w:val="000000"/>
          <w:szCs w:val="24"/>
        </w:rPr>
        <w:lastRenderedPageBreak/>
        <w:t xml:space="preserve">right </w:t>
      </w:r>
      <w:r w:rsidR="00795C9D">
        <w:rPr>
          <w:color w:val="000000"/>
          <w:szCs w:val="24"/>
        </w:rPr>
        <w:t>a</w:t>
      </w:r>
      <w:r w:rsidR="00656F7C">
        <w:rPr>
          <w:color w:val="000000"/>
          <w:szCs w:val="24"/>
        </w:rPr>
        <w:t xml:space="preserve">fter the </w:t>
      </w:r>
      <w:r w:rsidR="00795C9D">
        <w:rPr>
          <w:color w:val="000000"/>
          <w:szCs w:val="24"/>
        </w:rPr>
        <w:t>other.</w:t>
      </w:r>
      <w:r w:rsidR="00656F7C">
        <w:rPr>
          <w:rStyle w:val="FootnoteReference"/>
          <w:color w:val="000000"/>
          <w:szCs w:val="24"/>
        </w:rPr>
        <w:footnoteReference w:id="3"/>
      </w:r>
      <w:r w:rsidR="00795C9D">
        <w:rPr>
          <w:color w:val="000000"/>
          <w:szCs w:val="24"/>
        </w:rPr>
        <w:t xml:space="preserve"> I</w:t>
      </w:r>
      <w:r w:rsidR="00656F7C">
        <w:rPr>
          <w:color w:val="000000"/>
          <w:szCs w:val="24"/>
        </w:rPr>
        <w:t>t</w:t>
      </w:r>
      <w:r w:rsidR="002B7F98">
        <w:rPr>
          <w:color w:val="000000"/>
          <w:szCs w:val="24"/>
        </w:rPr>
        <w:t xml:space="preserve"> i</w:t>
      </w:r>
      <w:r w:rsidR="00656F7C">
        <w:rPr>
          <w:color w:val="000000"/>
          <w:szCs w:val="24"/>
        </w:rPr>
        <w:t>s difficult for i</w:t>
      </w:r>
      <w:r w:rsidR="00795C9D">
        <w:rPr>
          <w:color w:val="000000"/>
          <w:szCs w:val="24"/>
        </w:rPr>
        <w:t xml:space="preserve">nvestors </w:t>
      </w:r>
      <w:r w:rsidR="00656F7C">
        <w:rPr>
          <w:color w:val="000000"/>
          <w:szCs w:val="24"/>
        </w:rPr>
        <w:t>to</w:t>
      </w:r>
      <w:r w:rsidR="00795C9D">
        <w:rPr>
          <w:color w:val="000000"/>
          <w:szCs w:val="24"/>
        </w:rPr>
        <w:t xml:space="preserve"> time such markets, and </w:t>
      </w:r>
      <w:r w:rsidR="00656F7C">
        <w:rPr>
          <w:color w:val="000000"/>
          <w:szCs w:val="24"/>
        </w:rPr>
        <w:t xml:space="preserve">so they </w:t>
      </w:r>
      <w:r w:rsidR="00795C9D">
        <w:rPr>
          <w:color w:val="000000"/>
          <w:szCs w:val="24"/>
        </w:rPr>
        <w:t xml:space="preserve">need to </w:t>
      </w:r>
      <w:r w:rsidR="00795C9D">
        <w:t xml:space="preserve">stay invested, retaining equity exposure while </w:t>
      </w:r>
      <w:r w:rsidR="00E20ADB">
        <w:t>reducing</w:t>
      </w:r>
      <w:r w:rsidR="00795C9D">
        <w:t xml:space="preserve"> downside risk and equity correlation</w:t>
      </w:r>
      <w:r w:rsidR="00795C9D">
        <w:rPr>
          <w:color w:val="000000"/>
          <w:szCs w:val="24"/>
        </w:rPr>
        <w:t>.”</w:t>
      </w:r>
    </w:p>
    <w:p w14:paraId="39A45722" w14:textId="621993F6" w:rsidR="00B719B2" w:rsidRPr="003F72ED" w:rsidRDefault="00B719B2" w:rsidP="00E73EA1">
      <w:pPr>
        <w:rPr>
          <w:color w:val="000000"/>
          <w:szCs w:val="24"/>
        </w:rPr>
      </w:pPr>
    </w:p>
    <w:p w14:paraId="2EB47A49" w14:textId="356826A2" w:rsidR="00A262EF" w:rsidRPr="00BD6639" w:rsidRDefault="008B3A36" w:rsidP="0063731D">
      <w:pPr>
        <w:keepNext/>
        <w:rPr>
          <w:b/>
          <w:szCs w:val="24"/>
        </w:rPr>
      </w:pPr>
      <w:r w:rsidRPr="00BD6639">
        <w:rPr>
          <w:b/>
          <w:szCs w:val="24"/>
        </w:rPr>
        <w:t xml:space="preserve">About </w:t>
      </w:r>
      <w:r w:rsidR="00013ACA">
        <w:rPr>
          <w:b/>
          <w:szCs w:val="24"/>
        </w:rPr>
        <w:t>EAB</w:t>
      </w:r>
      <w:r w:rsidR="00B865D2">
        <w:rPr>
          <w:b/>
          <w:szCs w:val="24"/>
        </w:rPr>
        <w:t xml:space="preserve"> Investment Group</w:t>
      </w:r>
    </w:p>
    <w:p w14:paraId="5CC58D8E" w14:textId="21A58AD3" w:rsidR="00F766F9" w:rsidRDefault="00F766F9" w:rsidP="00F766F9">
      <w:pPr>
        <w:pStyle w:val="NormalWeb"/>
        <w:shd w:val="clear" w:color="auto" w:fill="FEFEFE"/>
        <w:spacing w:before="0" w:beforeAutospacing="0" w:after="0" w:afterAutospacing="0"/>
      </w:pPr>
      <w:r w:rsidRPr="00F766F9">
        <w:t>EAB is an SEC</w:t>
      </w:r>
      <w:r>
        <w:t>-</w:t>
      </w:r>
      <w:r w:rsidRPr="00F766F9">
        <w:t>registered investment company that provides a series of proprietary alpha</w:t>
      </w:r>
      <w:r>
        <w:t>-</w:t>
      </w:r>
      <w:r w:rsidRPr="00F766F9">
        <w:t>generating and risk</w:t>
      </w:r>
      <w:r>
        <w:t>-</w:t>
      </w:r>
      <w:r w:rsidRPr="00F766F9">
        <w:t xml:space="preserve">mitigating strategies for retail, institutional and family office investors. Headquartered in </w:t>
      </w:r>
      <w:r>
        <w:t>Philadelphia</w:t>
      </w:r>
      <w:r w:rsidRPr="00F766F9">
        <w:t xml:space="preserve"> with offices in New York, EAB is a sub-advisor on the James Alpha Managed Risk Domestic Equity Fund</w:t>
      </w:r>
      <w:r w:rsidR="0008639C">
        <w:t xml:space="preserve"> and</w:t>
      </w:r>
      <w:r>
        <w:t xml:space="preserve"> the </w:t>
      </w:r>
      <w:r w:rsidRPr="00F766F9">
        <w:t xml:space="preserve">James Alpha </w:t>
      </w:r>
      <w:r w:rsidR="0008639C">
        <w:t>Managed Risk Emerging Markets Equity Fund</w:t>
      </w:r>
      <w:r w:rsidRPr="00F766F9">
        <w:t>. The firm works as a risk advisor and seeks to add value by developing strategy, product and hedging solutions using proprietary methods.</w:t>
      </w:r>
    </w:p>
    <w:p w14:paraId="66CB7E64" w14:textId="27BCB5F2" w:rsidR="004B476C" w:rsidRDefault="004B476C" w:rsidP="00F766F9">
      <w:pPr>
        <w:pStyle w:val="NormalWeb"/>
        <w:shd w:val="clear" w:color="auto" w:fill="FEFEFE"/>
        <w:spacing w:before="0" w:beforeAutospacing="0" w:after="0" w:afterAutospacing="0"/>
      </w:pPr>
    </w:p>
    <w:p w14:paraId="51EA3406" w14:textId="77777777" w:rsidR="004B476C" w:rsidRPr="00BD6639" w:rsidRDefault="004B476C" w:rsidP="004B476C">
      <w:pPr>
        <w:rPr>
          <w:b/>
          <w:szCs w:val="24"/>
        </w:rPr>
      </w:pPr>
      <w:r w:rsidRPr="00BD6639">
        <w:rPr>
          <w:b/>
          <w:szCs w:val="24"/>
        </w:rPr>
        <w:t>About Easterly</w:t>
      </w:r>
      <w:r>
        <w:rPr>
          <w:b/>
          <w:szCs w:val="24"/>
        </w:rPr>
        <w:t xml:space="preserve"> EAB</w:t>
      </w:r>
    </w:p>
    <w:p w14:paraId="20DAA632" w14:textId="77777777" w:rsidR="004B476C" w:rsidRDefault="004B476C" w:rsidP="004B476C">
      <w:pPr>
        <w:rPr>
          <w:color w:val="000000"/>
          <w:szCs w:val="24"/>
        </w:rPr>
      </w:pPr>
      <w:r>
        <w:rPr>
          <w:color w:val="000000"/>
          <w:szCs w:val="24"/>
        </w:rPr>
        <w:t>With roots dating to 2011, Easterly EAB</w:t>
      </w:r>
      <w:r w:rsidRPr="009C1E89">
        <w:rPr>
          <w:color w:val="000000"/>
          <w:szCs w:val="24"/>
        </w:rPr>
        <w:t xml:space="preserve"> </w:t>
      </w:r>
      <w:r>
        <w:t xml:space="preserve">combines the experience and capabilities of </w:t>
      </w:r>
      <w:hyperlink r:id="rId11" w:history="1">
        <w:r w:rsidRPr="004F4375">
          <w:rPr>
            <w:rStyle w:val="Hyperlink"/>
          </w:rPr>
          <w:t>Easterly</w:t>
        </w:r>
      </w:hyperlink>
      <w:r>
        <w:t xml:space="preserve">, </w:t>
      </w:r>
      <w:r w:rsidRPr="0059491F">
        <w:t>a private asset management holding company</w:t>
      </w:r>
      <w:r>
        <w:t xml:space="preserve"> with</w:t>
      </w:r>
      <w:r w:rsidRPr="007013AF">
        <w:t xml:space="preserve"> affiliate</w:t>
      </w:r>
      <w:r>
        <w:t>d</w:t>
      </w:r>
      <w:r w:rsidRPr="007013AF">
        <w:t xml:space="preserve"> managers that offer strategies across a variety of asset classes</w:t>
      </w:r>
      <w:r>
        <w:t xml:space="preserve">, with the expertise of </w:t>
      </w:r>
      <w:hyperlink r:id="rId12" w:history="1">
        <w:r w:rsidRPr="004F4375">
          <w:rPr>
            <w:rStyle w:val="Hyperlink"/>
          </w:rPr>
          <w:t>EAB Investment Group</w:t>
        </w:r>
      </w:hyperlink>
      <w:r>
        <w:t>, a</w:t>
      </w:r>
      <w:r w:rsidRPr="004F4375">
        <w:t>n SEC</w:t>
      </w:r>
      <w:r>
        <w:t>-</w:t>
      </w:r>
      <w:r w:rsidRPr="004F4375">
        <w:t xml:space="preserve">registered investment company which specializes in </w:t>
      </w:r>
      <w:r>
        <w:t xml:space="preserve">hedged equity and </w:t>
      </w:r>
      <w:r w:rsidRPr="004F4375">
        <w:t>derivatives strategies for RIAs</w:t>
      </w:r>
      <w:r>
        <w:t xml:space="preserve"> as well as</w:t>
      </w:r>
      <w:r w:rsidRPr="004F4375">
        <w:t xml:space="preserve"> hedge funds</w:t>
      </w:r>
      <w:r>
        <w:t>,</w:t>
      </w:r>
      <w:r w:rsidRPr="004F4375">
        <w:t xml:space="preserve"> family offices</w:t>
      </w:r>
      <w:r>
        <w:t xml:space="preserve"> and other institutional investors.</w:t>
      </w:r>
    </w:p>
    <w:p w14:paraId="7F2681BC" w14:textId="77777777" w:rsidR="004B476C" w:rsidRDefault="004B476C" w:rsidP="004B476C">
      <w:pPr>
        <w:rPr>
          <w:color w:val="000000"/>
          <w:szCs w:val="24"/>
        </w:rPr>
      </w:pPr>
    </w:p>
    <w:p w14:paraId="034C04A2" w14:textId="4E0DB65A" w:rsidR="004B476C" w:rsidRPr="0074782E" w:rsidRDefault="004B476C" w:rsidP="004B476C">
      <w:pPr>
        <w:rPr>
          <w:szCs w:val="24"/>
        </w:rPr>
      </w:pPr>
      <w:r>
        <w:rPr>
          <w:color w:val="000000"/>
          <w:szCs w:val="24"/>
        </w:rPr>
        <w:t xml:space="preserve">Easterly EAB provides diverse risk mitigation solutions for institutional investors. For more on Easterly EAB’s </w:t>
      </w:r>
      <w:r w:rsidRPr="004F7E93">
        <w:rPr>
          <w:color w:val="000000"/>
          <w:szCs w:val="24"/>
        </w:rPr>
        <w:t>Hedged Equity Strategy</w:t>
      </w:r>
      <w:r>
        <w:rPr>
          <w:color w:val="000000"/>
          <w:szCs w:val="24"/>
        </w:rPr>
        <w:t xml:space="preserve"> as well as its</w:t>
      </w:r>
      <w:r w:rsidRPr="004F7E9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custom </w:t>
      </w:r>
      <w:r w:rsidRPr="004F7E93">
        <w:rPr>
          <w:color w:val="000000"/>
          <w:szCs w:val="24"/>
        </w:rPr>
        <w:t xml:space="preserve">solutions </w:t>
      </w:r>
      <w:r>
        <w:rPr>
          <w:color w:val="000000"/>
          <w:szCs w:val="24"/>
        </w:rPr>
        <w:t xml:space="preserve">including </w:t>
      </w:r>
      <w:r w:rsidRPr="0074782E">
        <w:rPr>
          <w:color w:val="000000"/>
          <w:szCs w:val="24"/>
        </w:rPr>
        <w:t xml:space="preserve">volatility and hedging strategies; beta </w:t>
      </w:r>
      <w:r>
        <w:rPr>
          <w:color w:val="000000"/>
          <w:szCs w:val="24"/>
        </w:rPr>
        <w:t>and</w:t>
      </w:r>
      <w:r w:rsidRPr="0074782E">
        <w:rPr>
          <w:color w:val="000000"/>
          <w:szCs w:val="24"/>
        </w:rPr>
        <w:t xml:space="preserve"> correlation hedging; yield enhancement strategies; and the EAB </w:t>
      </w:r>
      <w:bookmarkStart w:id="0" w:name="_Hlk72400900"/>
      <w:r w:rsidRPr="0074782E">
        <w:rPr>
          <w:color w:val="000000"/>
          <w:szCs w:val="24"/>
        </w:rPr>
        <w:t xml:space="preserve">Correlation Defense </w:t>
      </w:r>
      <w:proofErr w:type="spellStart"/>
      <w:r w:rsidRPr="0074782E">
        <w:rPr>
          <w:color w:val="000000"/>
          <w:szCs w:val="24"/>
        </w:rPr>
        <w:t>Index</w:t>
      </w:r>
      <w:r w:rsidRPr="004F7E93">
        <w:rPr>
          <w:color w:val="000000"/>
          <w:szCs w:val="24"/>
          <w:vertAlign w:val="superscript"/>
        </w:rPr>
        <w:t>TM</w:t>
      </w:r>
      <w:bookmarkEnd w:id="0"/>
      <w:proofErr w:type="spellEnd"/>
      <w:r w:rsidRPr="0074782E">
        <w:rPr>
          <w:szCs w:val="24"/>
        </w:rPr>
        <w:t>, please visit</w:t>
      </w:r>
      <w:r w:rsidR="00D30D16">
        <w:rPr>
          <w:szCs w:val="24"/>
        </w:rPr>
        <w:t xml:space="preserve"> </w:t>
      </w:r>
      <w:hyperlink r:id="rId13" w:history="1">
        <w:r w:rsidRPr="0074782E">
          <w:rPr>
            <w:rStyle w:val="Hyperlink"/>
            <w:szCs w:val="24"/>
          </w:rPr>
          <w:t>https://www.easterlyeab.com</w:t>
        </w:r>
      </w:hyperlink>
      <w:r w:rsidRPr="0074782E">
        <w:rPr>
          <w:szCs w:val="24"/>
        </w:rPr>
        <w:t xml:space="preserve">. </w:t>
      </w:r>
    </w:p>
    <w:p w14:paraId="5CEF4B96" w14:textId="77777777" w:rsidR="000E3707" w:rsidRPr="00F766F9" w:rsidRDefault="000E3707" w:rsidP="00F766F9">
      <w:pPr>
        <w:rPr>
          <w:rFonts w:cs="Times New Roman"/>
          <w:szCs w:val="24"/>
        </w:rPr>
      </w:pPr>
    </w:p>
    <w:p w14:paraId="77939045" w14:textId="68184100" w:rsidR="00A262EF" w:rsidRDefault="008B3A36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 w:rsidRPr="00074DF9">
        <w:rPr>
          <w:b/>
          <w:color w:val="000000"/>
        </w:rPr>
        <w:t>Contact</w:t>
      </w:r>
      <w:r w:rsidRPr="00074DF9">
        <w:rPr>
          <w:color w:val="000000"/>
        </w:rPr>
        <w:t>:</w:t>
      </w:r>
    </w:p>
    <w:p w14:paraId="05829DE1" w14:textId="1000B8CB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William J Visconto</w:t>
      </w:r>
    </w:p>
    <w:p w14:paraId="06BDF1E8" w14:textId="14E7580A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CCO</w:t>
      </w:r>
    </w:p>
    <w:p w14:paraId="0A29226C" w14:textId="210E8975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1650 Market Street</w:t>
      </w:r>
    </w:p>
    <w:p w14:paraId="45BC0733" w14:textId="14E8922E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36</w:t>
      </w:r>
      <w:r w:rsidRPr="00074DF9">
        <w:rPr>
          <w:color w:val="000000"/>
          <w:vertAlign w:val="superscript"/>
        </w:rPr>
        <w:t>th</w:t>
      </w:r>
      <w:r>
        <w:rPr>
          <w:color w:val="000000"/>
        </w:rPr>
        <w:t xml:space="preserve"> Floor</w:t>
      </w:r>
    </w:p>
    <w:p w14:paraId="393CA4E3" w14:textId="3884D127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Philadelphia PA 19103</w:t>
      </w:r>
    </w:p>
    <w:p w14:paraId="5A589950" w14:textId="6E8C832A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646 583 0032</w:t>
      </w:r>
    </w:p>
    <w:p w14:paraId="1F90D041" w14:textId="743E99B1" w:rsidR="00074DF9" w:rsidRDefault="00074DF9" w:rsidP="00437066">
      <w:pPr>
        <w:pStyle w:val="NormalWeb"/>
        <w:keepNext/>
        <w:spacing w:before="0" w:beforeAutospacing="0" w:after="0" w:afterAutospacing="0"/>
        <w:rPr>
          <w:color w:val="000000"/>
        </w:rPr>
      </w:pPr>
      <w:r>
        <w:rPr>
          <w:color w:val="000000"/>
        </w:rPr>
        <w:t>bvisconto@eabinvestmentgroup.com</w:t>
      </w:r>
    </w:p>
    <w:p w14:paraId="49515795" w14:textId="77777777" w:rsidR="0008639C" w:rsidRPr="0074782E" w:rsidRDefault="0008639C" w:rsidP="00437066">
      <w:pPr>
        <w:pStyle w:val="NormalWeb"/>
        <w:keepNext/>
        <w:spacing w:before="0" w:beforeAutospacing="0" w:after="0" w:afterAutospacing="0"/>
        <w:rPr>
          <w:color w:val="000000"/>
        </w:rPr>
      </w:pPr>
    </w:p>
    <w:sectPr w:rsidR="0008639C" w:rsidRPr="0074782E" w:rsidSect="0059491F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395AC" w14:textId="77777777" w:rsidR="000A7E58" w:rsidRDefault="000A7E58" w:rsidP="00556486">
      <w:r>
        <w:separator/>
      </w:r>
    </w:p>
  </w:endnote>
  <w:endnote w:type="continuationSeparator" w:id="0">
    <w:p w14:paraId="2A318B6D" w14:textId="77777777" w:rsidR="000A7E58" w:rsidRDefault="000A7E58" w:rsidP="0055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F034" w14:textId="3F3B2EDD" w:rsidR="00556486" w:rsidRPr="00556486" w:rsidRDefault="00E44C10" w:rsidP="00556486">
    <w:pPr>
      <w:pStyle w:val="Footer"/>
    </w:pPr>
    <w:r w:rsidRPr="00E44C10">
      <w:rPr>
        <w:noProof/>
        <w:vanish/>
        <w:sz w:val="16"/>
      </w:rPr>
      <w:t>{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0A49" w14:textId="77777777" w:rsidR="000A7E58" w:rsidRDefault="000A7E58" w:rsidP="0055648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C7AC24B" w14:textId="77777777" w:rsidR="000A7E58" w:rsidRDefault="000A7E58" w:rsidP="00556486">
      <w:r>
        <w:continuationSeparator/>
      </w:r>
    </w:p>
  </w:footnote>
  <w:footnote w:id="1">
    <w:p w14:paraId="6BEF0CE2" w14:textId="5F101F24" w:rsidR="00411141" w:rsidRDefault="00411141" w:rsidP="00411141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3E0B53">
        <w:rPr>
          <w:u w:val="single"/>
        </w:rPr>
        <w:t>Footnote included for proofing purposes only</w:t>
      </w:r>
      <w:r>
        <w:t xml:space="preserve">: </w:t>
      </w:r>
      <w:hyperlink r:id="rId1" w:history="1">
        <w:r w:rsidRPr="00411141">
          <w:rPr>
            <w:rStyle w:val="Hyperlink"/>
          </w:rPr>
          <w:t>JP Morgan Asset Management Guide to Retirement</w:t>
        </w:r>
      </w:hyperlink>
      <w:r>
        <w:t>, 2021 Edition. Page 43, “Impact of Being Out of the Market.”</w:t>
      </w:r>
    </w:p>
  </w:footnote>
  <w:footnote w:id="2">
    <w:p w14:paraId="71C43F32" w14:textId="08631D32" w:rsidR="002630AB" w:rsidRDefault="002630AB" w:rsidP="002630AB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r w:rsidR="003E0B53" w:rsidRPr="003E0B53">
        <w:rPr>
          <w:u w:val="single"/>
        </w:rPr>
        <w:t>Footnote included for proofing purposes only</w:t>
      </w:r>
      <w:r>
        <w:t>: “</w:t>
      </w:r>
      <w:hyperlink r:id="rId2" w:history="1">
        <w:r w:rsidRPr="002630AB">
          <w:rPr>
            <w:rStyle w:val="Hyperlink"/>
          </w:rPr>
          <w:t>10 Things You Should Know About Stock Market Volatility</w:t>
        </w:r>
      </w:hyperlink>
      <w:r>
        <w:t>,” by The Hartford Funds</w:t>
      </w:r>
    </w:p>
  </w:footnote>
  <w:footnote w:id="3">
    <w:p w14:paraId="04D502DA" w14:textId="55A27F46" w:rsidR="00656F7C" w:rsidRDefault="00656F7C" w:rsidP="00656F7C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="003E0B53" w:rsidRPr="003E0B53">
        <w:rPr>
          <w:u w:val="single"/>
        </w:rPr>
        <w:t>Footnote included for proofing purposes only</w:t>
      </w:r>
      <w:r>
        <w:t xml:space="preserve">: </w:t>
      </w:r>
      <w:hyperlink r:id="rId3" w:history="1">
        <w:r w:rsidRPr="00411141">
          <w:rPr>
            <w:rStyle w:val="Hyperlink"/>
          </w:rPr>
          <w:t>JP Morgan Asset Management Guide to Retirement</w:t>
        </w:r>
      </w:hyperlink>
      <w:r>
        <w:t>, 2021 Edition. Page 43, “Impact of Being Out of the Market.”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3BBEE" w14:textId="2AFD1E94" w:rsidR="00595A35" w:rsidRDefault="00595A35">
    <w:pPr>
      <w:pStyle w:val="Header"/>
    </w:pPr>
    <w:r>
      <w:rPr>
        <w:noProof/>
      </w:rPr>
      <w:drawing>
        <wp:inline distT="0" distB="0" distL="0" distR="0" wp14:anchorId="74C8BE06" wp14:editId="1FE3F963">
          <wp:extent cx="3790950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ACFB5" w14:textId="77777777" w:rsidR="00595A35" w:rsidRDefault="0059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824"/>
    <w:multiLevelType w:val="hybridMultilevel"/>
    <w:tmpl w:val="1C401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6886"/>
    <w:multiLevelType w:val="hybridMultilevel"/>
    <w:tmpl w:val="60F2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54A7"/>
    <w:multiLevelType w:val="hybridMultilevel"/>
    <w:tmpl w:val="6B16CB20"/>
    <w:lvl w:ilvl="0" w:tplc="49B2A2F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3E7EE4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AA0B20">
      <w:start w:val="1"/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 w:tplc="05E6CB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8A5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720790">
      <w:start w:val="1"/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 w:tplc="8084EC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10A3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FE97A2">
      <w:start w:val="1"/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" w15:restartNumberingAfterBreak="0">
    <w:nsid w:val="4F7B6F45"/>
    <w:multiLevelType w:val="hybridMultilevel"/>
    <w:tmpl w:val="8F6205EE"/>
    <w:lvl w:ilvl="0" w:tplc="AB94FC8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 w:tplc="8B581D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629A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0C50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4628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A079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360A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C623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3C15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BA0D3D"/>
    <w:multiLevelType w:val="hybridMultilevel"/>
    <w:tmpl w:val="45005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zMDOzNDc0MzQwNbZQ0lEKTi0uzszPAykwqgUA95rlhiwAAAA="/>
  </w:docVars>
  <w:rsids>
    <w:rsidRoot w:val="00751294"/>
    <w:rsid w:val="000026D7"/>
    <w:rsid w:val="00010599"/>
    <w:rsid w:val="00013ACA"/>
    <w:rsid w:val="00013E9D"/>
    <w:rsid w:val="0001687B"/>
    <w:rsid w:val="00022D6F"/>
    <w:rsid w:val="000250FE"/>
    <w:rsid w:val="000262BF"/>
    <w:rsid w:val="0002775B"/>
    <w:rsid w:val="00027DE7"/>
    <w:rsid w:val="000306AD"/>
    <w:rsid w:val="000366AA"/>
    <w:rsid w:val="0004560C"/>
    <w:rsid w:val="00074DF9"/>
    <w:rsid w:val="00080775"/>
    <w:rsid w:val="00081F6F"/>
    <w:rsid w:val="00082BAE"/>
    <w:rsid w:val="0008639C"/>
    <w:rsid w:val="0008755F"/>
    <w:rsid w:val="000A7629"/>
    <w:rsid w:val="000A7E58"/>
    <w:rsid w:val="000B4E71"/>
    <w:rsid w:val="000B6232"/>
    <w:rsid w:val="000B6721"/>
    <w:rsid w:val="000C22DD"/>
    <w:rsid w:val="000C30F3"/>
    <w:rsid w:val="000C4CCB"/>
    <w:rsid w:val="000C69E3"/>
    <w:rsid w:val="000C79D7"/>
    <w:rsid w:val="000D385F"/>
    <w:rsid w:val="000E12AC"/>
    <w:rsid w:val="000E3707"/>
    <w:rsid w:val="000E5DBD"/>
    <w:rsid w:val="000F1A0F"/>
    <w:rsid w:val="00100C3A"/>
    <w:rsid w:val="00104C8B"/>
    <w:rsid w:val="00105C14"/>
    <w:rsid w:val="00110A23"/>
    <w:rsid w:val="0011413C"/>
    <w:rsid w:val="00115817"/>
    <w:rsid w:val="0012178E"/>
    <w:rsid w:val="00127E27"/>
    <w:rsid w:val="001508D4"/>
    <w:rsid w:val="0015272E"/>
    <w:rsid w:val="00157344"/>
    <w:rsid w:val="001626F6"/>
    <w:rsid w:val="00171D5A"/>
    <w:rsid w:val="00175789"/>
    <w:rsid w:val="001818CC"/>
    <w:rsid w:val="001933AC"/>
    <w:rsid w:val="0019527D"/>
    <w:rsid w:val="001A05AD"/>
    <w:rsid w:val="001A0CD2"/>
    <w:rsid w:val="001A20F3"/>
    <w:rsid w:val="001B3869"/>
    <w:rsid w:val="001B613B"/>
    <w:rsid w:val="001C00FC"/>
    <w:rsid w:val="001C180C"/>
    <w:rsid w:val="001C5B30"/>
    <w:rsid w:val="001D1EB0"/>
    <w:rsid w:val="001D7DF0"/>
    <w:rsid w:val="001F0F0A"/>
    <w:rsid w:val="001F2BE0"/>
    <w:rsid w:val="001F4468"/>
    <w:rsid w:val="001F5A0A"/>
    <w:rsid w:val="00206F8E"/>
    <w:rsid w:val="00216041"/>
    <w:rsid w:val="002305BF"/>
    <w:rsid w:val="00232AB2"/>
    <w:rsid w:val="00233DB8"/>
    <w:rsid w:val="00237619"/>
    <w:rsid w:val="00240A36"/>
    <w:rsid w:val="00240ED7"/>
    <w:rsid w:val="00244D20"/>
    <w:rsid w:val="002477CC"/>
    <w:rsid w:val="00247C47"/>
    <w:rsid w:val="002517D5"/>
    <w:rsid w:val="00254C8B"/>
    <w:rsid w:val="00255901"/>
    <w:rsid w:val="00260E16"/>
    <w:rsid w:val="002630AB"/>
    <w:rsid w:val="0027319E"/>
    <w:rsid w:val="00274B0B"/>
    <w:rsid w:val="00282089"/>
    <w:rsid w:val="002972D7"/>
    <w:rsid w:val="00297871"/>
    <w:rsid w:val="002A2780"/>
    <w:rsid w:val="002A3410"/>
    <w:rsid w:val="002A59A7"/>
    <w:rsid w:val="002A7CD5"/>
    <w:rsid w:val="002B0D07"/>
    <w:rsid w:val="002B11CC"/>
    <w:rsid w:val="002B5D18"/>
    <w:rsid w:val="002B7BA5"/>
    <w:rsid w:val="002B7F98"/>
    <w:rsid w:val="002D2449"/>
    <w:rsid w:val="002D4898"/>
    <w:rsid w:val="002E0066"/>
    <w:rsid w:val="002E1391"/>
    <w:rsid w:val="002E1A3E"/>
    <w:rsid w:val="002E571B"/>
    <w:rsid w:val="002F1A1E"/>
    <w:rsid w:val="002F3AE0"/>
    <w:rsid w:val="002F412B"/>
    <w:rsid w:val="002F569E"/>
    <w:rsid w:val="002F57EC"/>
    <w:rsid w:val="002F5DDE"/>
    <w:rsid w:val="002F77B3"/>
    <w:rsid w:val="00300787"/>
    <w:rsid w:val="00302C59"/>
    <w:rsid w:val="00316D5B"/>
    <w:rsid w:val="0032047D"/>
    <w:rsid w:val="003228E9"/>
    <w:rsid w:val="003239F1"/>
    <w:rsid w:val="003248A4"/>
    <w:rsid w:val="00346ED5"/>
    <w:rsid w:val="00350A98"/>
    <w:rsid w:val="00353E5D"/>
    <w:rsid w:val="0036539C"/>
    <w:rsid w:val="00366359"/>
    <w:rsid w:val="00372C17"/>
    <w:rsid w:val="003731F4"/>
    <w:rsid w:val="00375A5E"/>
    <w:rsid w:val="00376466"/>
    <w:rsid w:val="00381AF6"/>
    <w:rsid w:val="00382175"/>
    <w:rsid w:val="00386B81"/>
    <w:rsid w:val="003877B5"/>
    <w:rsid w:val="00391722"/>
    <w:rsid w:val="00391D3C"/>
    <w:rsid w:val="00394EBB"/>
    <w:rsid w:val="00396EE0"/>
    <w:rsid w:val="003A4040"/>
    <w:rsid w:val="003A4598"/>
    <w:rsid w:val="003B2F60"/>
    <w:rsid w:val="003B6C70"/>
    <w:rsid w:val="003C1288"/>
    <w:rsid w:val="003C62E7"/>
    <w:rsid w:val="003D6A99"/>
    <w:rsid w:val="003E0B49"/>
    <w:rsid w:val="003E0B53"/>
    <w:rsid w:val="003E4C83"/>
    <w:rsid w:val="003E6354"/>
    <w:rsid w:val="003F0013"/>
    <w:rsid w:val="003F2B68"/>
    <w:rsid w:val="003F2FC8"/>
    <w:rsid w:val="003F4B3F"/>
    <w:rsid w:val="003F72ED"/>
    <w:rsid w:val="00404B9E"/>
    <w:rsid w:val="00411141"/>
    <w:rsid w:val="0041129B"/>
    <w:rsid w:val="00412D00"/>
    <w:rsid w:val="004150E3"/>
    <w:rsid w:val="00416452"/>
    <w:rsid w:val="00420094"/>
    <w:rsid w:val="00420C7F"/>
    <w:rsid w:val="004211F9"/>
    <w:rsid w:val="00425B95"/>
    <w:rsid w:val="0042778D"/>
    <w:rsid w:val="004343D9"/>
    <w:rsid w:val="00434C3C"/>
    <w:rsid w:val="00437066"/>
    <w:rsid w:val="00444D08"/>
    <w:rsid w:val="00447B59"/>
    <w:rsid w:val="00453CAE"/>
    <w:rsid w:val="00454FA1"/>
    <w:rsid w:val="004661C6"/>
    <w:rsid w:val="00470364"/>
    <w:rsid w:val="00471409"/>
    <w:rsid w:val="00481515"/>
    <w:rsid w:val="0049006F"/>
    <w:rsid w:val="0049009E"/>
    <w:rsid w:val="0049085F"/>
    <w:rsid w:val="00494814"/>
    <w:rsid w:val="00495EE3"/>
    <w:rsid w:val="004A157D"/>
    <w:rsid w:val="004A15BE"/>
    <w:rsid w:val="004A253C"/>
    <w:rsid w:val="004A2B71"/>
    <w:rsid w:val="004A437C"/>
    <w:rsid w:val="004B476C"/>
    <w:rsid w:val="004B676A"/>
    <w:rsid w:val="004C0CC3"/>
    <w:rsid w:val="004C27EE"/>
    <w:rsid w:val="004C2F14"/>
    <w:rsid w:val="004C541C"/>
    <w:rsid w:val="004C711D"/>
    <w:rsid w:val="004D272A"/>
    <w:rsid w:val="004D406C"/>
    <w:rsid w:val="004E5664"/>
    <w:rsid w:val="004F4375"/>
    <w:rsid w:val="004F44EB"/>
    <w:rsid w:val="004F7E93"/>
    <w:rsid w:val="004F7EC8"/>
    <w:rsid w:val="00505263"/>
    <w:rsid w:val="00510EB4"/>
    <w:rsid w:val="00514C1A"/>
    <w:rsid w:val="00516C09"/>
    <w:rsid w:val="00523D55"/>
    <w:rsid w:val="005307BB"/>
    <w:rsid w:val="005353AC"/>
    <w:rsid w:val="00544C49"/>
    <w:rsid w:val="005452E1"/>
    <w:rsid w:val="005465A4"/>
    <w:rsid w:val="00550CBE"/>
    <w:rsid w:val="00556486"/>
    <w:rsid w:val="00560B8F"/>
    <w:rsid w:val="00565A14"/>
    <w:rsid w:val="0057787B"/>
    <w:rsid w:val="00582C43"/>
    <w:rsid w:val="0059144D"/>
    <w:rsid w:val="0059491F"/>
    <w:rsid w:val="00595A35"/>
    <w:rsid w:val="005A3CFD"/>
    <w:rsid w:val="005A69D2"/>
    <w:rsid w:val="005A6BE7"/>
    <w:rsid w:val="005A7D40"/>
    <w:rsid w:val="005B02EE"/>
    <w:rsid w:val="005B6602"/>
    <w:rsid w:val="005C04A2"/>
    <w:rsid w:val="005C087B"/>
    <w:rsid w:val="005C17CF"/>
    <w:rsid w:val="005C250F"/>
    <w:rsid w:val="005D0958"/>
    <w:rsid w:val="005D1E3A"/>
    <w:rsid w:val="005D6B80"/>
    <w:rsid w:val="005E1D68"/>
    <w:rsid w:val="005E7AC7"/>
    <w:rsid w:val="005F639A"/>
    <w:rsid w:val="00604C5C"/>
    <w:rsid w:val="0060537E"/>
    <w:rsid w:val="0060618E"/>
    <w:rsid w:val="0062367B"/>
    <w:rsid w:val="00624E41"/>
    <w:rsid w:val="00627227"/>
    <w:rsid w:val="00627AD7"/>
    <w:rsid w:val="00634000"/>
    <w:rsid w:val="006355DE"/>
    <w:rsid w:val="006363EA"/>
    <w:rsid w:val="0063731D"/>
    <w:rsid w:val="00641B87"/>
    <w:rsid w:val="00656F7C"/>
    <w:rsid w:val="00657780"/>
    <w:rsid w:val="00661636"/>
    <w:rsid w:val="00661684"/>
    <w:rsid w:val="00662648"/>
    <w:rsid w:val="0066421B"/>
    <w:rsid w:val="00673558"/>
    <w:rsid w:val="00675357"/>
    <w:rsid w:val="006778C6"/>
    <w:rsid w:val="006827BA"/>
    <w:rsid w:val="00691395"/>
    <w:rsid w:val="006A1547"/>
    <w:rsid w:val="006A70BD"/>
    <w:rsid w:val="006B2948"/>
    <w:rsid w:val="006C0359"/>
    <w:rsid w:val="006C64ED"/>
    <w:rsid w:val="006D27D8"/>
    <w:rsid w:val="006D3AFF"/>
    <w:rsid w:val="006D4C5B"/>
    <w:rsid w:val="006D58BA"/>
    <w:rsid w:val="006D6607"/>
    <w:rsid w:val="006E30C0"/>
    <w:rsid w:val="006E3A9B"/>
    <w:rsid w:val="006F0EE5"/>
    <w:rsid w:val="006F25ED"/>
    <w:rsid w:val="006F3F62"/>
    <w:rsid w:val="006F5B7D"/>
    <w:rsid w:val="006F7E4F"/>
    <w:rsid w:val="007013AF"/>
    <w:rsid w:val="007143F2"/>
    <w:rsid w:val="00714F06"/>
    <w:rsid w:val="00715A02"/>
    <w:rsid w:val="00720AFD"/>
    <w:rsid w:val="00730672"/>
    <w:rsid w:val="007306CD"/>
    <w:rsid w:val="007335A3"/>
    <w:rsid w:val="00734D7A"/>
    <w:rsid w:val="0074200C"/>
    <w:rsid w:val="0074782E"/>
    <w:rsid w:val="00751294"/>
    <w:rsid w:val="00767831"/>
    <w:rsid w:val="00770FAB"/>
    <w:rsid w:val="00771DBC"/>
    <w:rsid w:val="00777C55"/>
    <w:rsid w:val="00781493"/>
    <w:rsid w:val="00784574"/>
    <w:rsid w:val="00785B51"/>
    <w:rsid w:val="00786510"/>
    <w:rsid w:val="00794BD2"/>
    <w:rsid w:val="00795C9D"/>
    <w:rsid w:val="00796742"/>
    <w:rsid w:val="007A64DF"/>
    <w:rsid w:val="007B0D0E"/>
    <w:rsid w:val="007D7CA4"/>
    <w:rsid w:val="007F0730"/>
    <w:rsid w:val="007F72F9"/>
    <w:rsid w:val="007F779E"/>
    <w:rsid w:val="007F787B"/>
    <w:rsid w:val="0080049D"/>
    <w:rsid w:val="008120ED"/>
    <w:rsid w:val="0081334E"/>
    <w:rsid w:val="0081459D"/>
    <w:rsid w:val="00817483"/>
    <w:rsid w:val="00822F1B"/>
    <w:rsid w:val="00823057"/>
    <w:rsid w:val="0082778A"/>
    <w:rsid w:val="00830A6F"/>
    <w:rsid w:val="008374BF"/>
    <w:rsid w:val="008419A4"/>
    <w:rsid w:val="00851E74"/>
    <w:rsid w:val="00854145"/>
    <w:rsid w:val="00860C13"/>
    <w:rsid w:val="008627EB"/>
    <w:rsid w:val="00866C4C"/>
    <w:rsid w:val="00870E6D"/>
    <w:rsid w:val="00883A5B"/>
    <w:rsid w:val="00890796"/>
    <w:rsid w:val="00893553"/>
    <w:rsid w:val="008966A9"/>
    <w:rsid w:val="008A507D"/>
    <w:rsid w:val="008A6274"/>
    <w:rsid w:val="008B094F"/>
    <w:rsid w:val="008B3A36"/>
    <w:rsid w:val="008B71E1"/>
    <w:rsid w:val="008C7BE0"/>
    <w:rsid w:val="008E172D"/>
    <w:rsid w:val="008E3523"/>
    <w:rsid w:val="00912A19"/>
    <w:rsid w:val="009237A7"/>
    <w:rsid w:val="0092607A"/>
    <w:rsid w:val="00926672"/>
    <w:rsid w:val="00932236"/>
    <w:rsid w:val="0094584A"/>
    <w:rsid w:val="009575AF"/>
    <w:rsid w:val="0096201A"/>
    <w:rsid w:val="00962DB7"/>
    <w:rsid w:val="009707B9"/>
    <w:rsid w:val="009735AD"/>
    <w:rsid w:val="00983F26"/>
    <w:rsid w:val="00984CEB"/>
    <w:rsid w:val="00991DA3"/>
    <w:rsid w:val="00996213"/>
    <w:rsid w:val="009A4617"/>
    <w:rsid w:val="009A48D4"/>
    <w:rsid w:val="009A5117"/>
    <w:rsid w:val="009B5F19"/>
    <w:rsid w:val="009C1E89"/>
    <w:rsid w:val="009C33FB"/>
    <w:rsid w:val="009D34A2"/>
    <w:rsid w:val="009F0217"/>
    <w:rsid w:val="009F2011"/>
    <w:rsid w:val="009F3884"/>
    <w:rsid w:val="00A00211"/>
    <w:rsid w:val="00A1044E"/>
    <w:rsid w:val="00A262EF"/>
    <w:rsid w:val="00A36CD7"/>
    <w:rsid w:val="00A376A1"/>
    <w:rsid w:val="00A42120"/>
    <w:rsid w:val="00A45EC0"/>
    <w:rsid w:val="00A4746B"/>
    <w:rsid w:val="00A50AE6"/>
    <w:rsid w:val="00A51EFC"/>
    <w:rsid w:val="00A57AF9"/>
    <w:rsid w:val="00A7733A"/>
    <w:rsid w:val="00A97BBD"/>
    <w:rsid w:val="00AA1FBB"/>
    <w:rsid w:val="00AA3C36"/>
    <w:rsid w:val="00AA4156"/>
    <w:rsid w:val="00AB165C"/>
    <w:rsid w:val="00AB242B"/>
    <w:rsid w:val="00AC0818"/>
    <w:rsid w:val="00AC221F"/>
    <w:rsid w:val="00AC2A98"/>
    <w:rsid w:val="00AD134D"/>
    <w:rsid w:val="00AD4029"/>
    <w:rsid w:val="00AE5C82"/>
    <w:rsid w:val="00AE65C0"/>
    <w:rsid w:val="00AF00BC"/>
    <w:rsid w:val="00AF50CC"/>
    <w:rsid w:val="00B166C6"/>
    <w:rsid w:val="00B17723"/>
    <w:rsid w:val="00B20B43"/>
    <w:rsid w:val="00B24817"/>
    <w:rsid w:val="00B25844"/>
    <w:rsid w:val="00B26C96"/>
    <w:rsid w:val="00B2731B"/>
    <w:rsid w:val="00B317A4"/>
    <w:rsid w:val="00B3374B"/>
    <w:rsid w:val="00B43965"/>
    <w:rsid w:val="00B5441C"/>
    <w:rsid w:val="00B61124"/>
    <w:rsid w:val="00B7079F"/>
    <w:rsid w:val="00B719B2"/>
    <w:rsid w:val="00B7379D"/>
    <w:rsid w:val="00B7617F"/>
    <w:rsid w:val="00B76D75"/>
    <w:rsid w:val="00B778CD"/>
    <w:rsid w:val="00B84CC3"/>
    <w:rsid w:val="00B865D2"/>
    <w:rsid w:val="00B97FB6"/>
    <w:rsid w:val="00BA227A"/>
    <w:rsid w:val="00BA5E4E"/>
    <w:rsid w:val="00BB4E03"/>
    <w:rsid w:val="00BB5983"/>
    <w:rsid w:val="00BB7EE6"/>
    <w:rsid w:val="00BC21FF"/>
    <w:rsid w:val="00BC3964"/>
    <w:rsid w:val="00BC6F8D"/>
    <w:rsid w:val="00BC7234"/>
    <w:rsid w:val="00BC75DF"/>
    <w:rsid w:val="00BD32E5"/>
    <w:rsid w:val="00BD5E00"/>
    <w:rsid w:val="00BD6639"/>
    <w:rsid w:val="00BE79AC"/>
    <w:rsid w:val="00BF4B37"/>
    <w:rsid w:val="00BF5241"/>
    <w:rsid w:val="00BF5AD3"/>
    <w:rsid w:val="00BF75A4"/>
    <w:rsid w:val="00C12F8E"/>
    <w:rsid w:val="00C13B9F"/>
    <w:rsid w:val="00C23523"/>
    <w:rsid w:val="00C376BE"/>
    <w:rsid w:val="00C4204C"/>
    <w:rsid w:val="00C42CBC"/>
    <w:rsid w:val="00C43A36"/>
    <w:rsid w:val="00C466FE"/>
    <w:rsid w:val="00C46839"/>
    <w:rsid w:val="00C52877"/>
    <w:rsid w:val="00C5545F"/>
    <w:rsid w:val="00C56276"/>
    <w:rsid w:val="00C6262E"/>
    <w:rsid w:val="00C636B1"/>
    <w:rsid w:val="00C70DD3"/>
    <w:rsid w:val="00C70EDB"/>
    <w:rsid w:val="00C72ACB"/>
    <w:rsid w:val="00C731C6"/>
    <w:rsid w:val="00C91099"/>
    <w:rsid w:val="00C92DF0"/>
    <w:rsid w:val="00C9443A"/>
    <w:rsid w:val="00CA1F4A"/>
    <w:rsid w:val="00CA24A5"/>
    <w:rsid w:val="00CA3240"/>
    <w:rsid w:val="00CA46ED"/>
    <w:rsid w:val="00CA57AD"/>
    <w:rsid w:val="00CB2286"/>
    <w:rsid w:val="00CB22E6"/>
    <w:rsid w:val="00CB6331"/>
    <w:rsid w:val="00CB65E9"/>
    <w:rsid w:val="00CB71A3"/>
    <w:rsid w:val="00CC083B"/>
    <w:rsid w:val="00CC38A1"/>
    <w:rsid w:val="00CC6FDB"/>
    <w:rsid w:val="00CD2D9D"/>
    <w:rsid w:val="00CD3775"/>
    <w:rsid w:val="00CD50E8"/>
    <w:rsid w:val="00CD5D01"/>
    <w:rsid w:val="00CE0E2E"/>
    <w:rsid w:val="00CF0848"/>
    <w:rsid w:val="00CF1760"/>
    <w:rsid w:val="00CF36D1"/>
    <w:rsid w:val="00D04EFB"/>
    <w:rsid w:val="00D0733A"/>
    <w:rsid w:val="00D1257A"/>
    <w:rsid w:val="00D14AE0"/>
    <w:rsid w:val="00D2062B"/>
    <w:rsid w:val="00D22CDF"/>
    <w:rsid w:val="00D26A9D"/>
    <w:rsid w:val="00D27D6E"/>
    <w:rsid w:val="00D30D16"/>
    <w:rsid w:val="00D3115B"/>
    <w:rsid w:val="00D37CCD"/>
    <w:rsid w:val="00D4434C"/>
    <w:rsid w:val="00D50DBC"/>
    <w:rsid w:val="00D554F9"/>
    <w:rsid w:val="00D65B35"/>
    <w:rsid w:val="00D678E2"/>
    <w:rsid w:val="00D708F1"/>
    <w:rsid w:val="00D71C07"/>
    <w:rsid w:val="00D76F11"/>
    <w:rsid w:val="00D860A9"/>
    <w:rsid w:val="00D87645"/>
    <w:rsid w:val="00D90FA6"/>
    <w:rsid w:val="00D91E60"/>
    <w:rsid w:val="00D944B4"/>
    <w:rsid w:val="00DA7402"/>
    <w:rsid w:val="00DB1FA8"/>
    <w:rsid w:val="00DB26D2"/>
    <w:rsid w:val="00DB2EB3"/>
    <w:rsid w:val="00DB4EE3"/>
    <w:rsid w:val="00DB7F4C"/>
    <w:rsid w:val="00DC4C2F"/>
    <w:rsid w:val="00DC660A"/>
    <w:rsid w:val="00DD375B"/>
    <w:rsid w:val="00DD77CE"/>
    <w:rsid w:val="00E020DC"/>
    <w:rsid w:val="00E05FEF"/>
    <w:rsid w:val="00E1296C"/>
    <w:rsid w:val="00E12E2E"/>
    <w:rsid w:val="00E20ADB"/>
    <w:rsid w:val="00E2319A"/>
    <w:rsid w:val="00E37B1F"/>
    <w:rsid w:val="00E40F72"/>
    <w:rsid w:val="00E426A7"/>
    <w:rsid w:val="00E44C10"/>
    <w:rsid w:val="00E45BDC"/>
    <w:rsid w:val="00E46F6B"/>
    <w:rsid w:val="00E50418"/>
    <w:rsid w:val="00E50BA7"/>
    <w:rsid w:val="00E51E94"/>
    <w:rsid w:val="00E56E7F"/>
    <w:rsid w:val="00E65801"/>
    <w:rsid w:val="00E7226A"/>
    <w:rsid w:val="00E73EA1"/>
    <w:rsid w:val="00E74B9A"/>
    <w:rsid w:val="00E77B9B"/>
    <w:rsid w:val="00E82663"/>
    <w:rsid w:val="00E85A52"/>
    <w:rsid w:val="00E86C64"/>
    <w:rsid w:val="00E87402"/>
    <w:rsid w:val="00E95A33"/>
    <w:rsid w:val="00E97DAF"/>
    <w:rsid w:val="00EA126D"/>
    <w:rsid w:val="00EB42B7"/>
    <w:rsid w:val="00EC05EE"/>
    <w:rsid w:val="00EC2583"/>
    <w:rsid w:val="00EC2A20"/>
    <w:rsid w:val="00EC781B"/>
    <w:rsid w:val="00ED10E7"/>
    <w:rsid w:val="00ED2C4A"/>
    <w:rsid w:val="00ED492D"/>
    <w:rsid w:val="00ED517C"/>
    <w:rsid w:val="00ED5D88"/>
    <w:rsid w:val="00ED68FA"/>
    <w:rsid w:val="00EE10DA"/>
    <w:rsid w:val="00EF26E2"/>
    <w:rsid w:val="00EF5EEA"/>
    <w:rsid w:val="00F030BC"/>
    <w:rsid w:val="00F07FF2"/>
    <w:rsid w:val="00F11165"/>
    <w:rsid w:val="00F133C0"/>
    <w:rsid w:val="00F1441D"/>
    <w:rsid w:val="00F15B37"/>
    <w:rsid w:val="00F20259"/>
    <w:rsid w:val="00F2544C"/>
    <w:rsid w:val="00F354BD"/>
    <w:rsid w:val="00F3699E"/>
    <w:rsid w:val="00F412A8"/>
    <w:rsid w:val="00F41D86"/>
    <w:rsid w:val="00F425BF"/>
    <w:rsid w:val="00F43AB5"/>
    <w:rsid w:val="00F46FB8"/>
    <w:rsid w:val="00F53A6E"/>
    <w:rsid w:val="00F57257"/>
    <w:rsid w:val="00F577EE"/>
    <w:rsid w:val="00F60B10"/>
    <w:rsid w:val="00F62041"/>
    <w:rsid w:val="00F65A39"/>
    <w:rsid w:val="00F70408"/>
    <w:rsid w:val="00F708EC"/>
    <w:rsid w:val="00F72A4A"/>
    <w:rsid w:val="00F766F9"/>
    <w:rsid w:val="00F77A94"/>
    <w:rsid w:val="00F77C63"/>
    <w:rsid w:val="00F9117D"/>
    <w:rsid w:val="00F91206"/>
    <w:rsid w:val="00FA01E7"/>
    <w:rsid w:val="00FA56FD"/>
    <w:rsid w:val="00FA5C48"/>
    <w:rsid w:val="00FB0697"/>
    <w:rsid w:val="00FB11B3"/>
    <w:rsid w:val="00FB1A88"/>
    <w:rsid w:val="00FB39D9"/>
    <w:rsid w:val="00FB42BB"/>
    <w:rsid w:val="00FD632C"/>
    <w:rsid w:val="00FE4CF6"/>
    <w:rsid w:val="00FE7BED"/>
    <w:rsid w:val="00FE7C83"/>
    <w:rsid w:val="00FF1BBD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1CC42"/>
  <w15:docId w15:val="{3DC70A3F-50EC-440D-96BD-C15E3B15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4AE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2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257"/>
    <w:rPr>
      <w:color w:val="605E5C"/>
      <w:shd w:val="clear" w:color="auto" w:fill="E1DFDD"/>
    </w:rPr>
  </w:style>
  <w:style w:type="paragraph" w:customStyle="1" w:styleId="Default">
    <w:name w:val="Default"/>
    <w:rsid w:val="00394EBB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A104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1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86"/>
  </w:style>
  <w:style w:type="paragraph" w:styleId="Footer">
    <w:name w:val="footer"/>
    <w:basedOn w:val="Normal"/>
    <w:link w:val="FooterChar"/>
    <w:uiPriority w:val="99"/>
    <w:unhideWhenUsed/>
    <w:rsid w:val="00556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86"/>
  </w:style>
  <w:style w:type="paragraph" w:styleId="FootnoteText">
    <w:name w:val="footnote text"/>
    <w:basedOn w:val="Normal"/>
    <w:link w:val="FootnoteTextChar"/>
    <w:uiPriority w:val="99"/>
    <w:semiHidden/>
    <w:unhideWhenUsed/>
    <w:rsid w:val="004111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1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binvestmentgroup.com/" TargetMode="External"/><Relationship Id="rId13" Type="http://schemas.openxmlformats.org/officeDocument/2006/relationships/hyperlink" Target="https://www.easterlye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binvestmentgrou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sterlycapital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asterlyeab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terlycapital.com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m.jpmorgan.com/content/dam/jpm-am-aem/global/en/insights/retirement-insights/guide-to-retirement-us.pdf" TargetMode="External"/><Relationship Id="rId2" Type="http://schemas.openxmlformats.org/officeDocument/2006/relationships/hyperlink" Target="https://www.hartfordfunds.com/dam/en/docs/pub/whitepapers/CCWP051.pdf" TargetMode="External"/><Relationship Id="rId1" Type="http://schemas.openxmlformats.org/officeDocument/2006/relationships/hyperlink" Target="https://am.jpmorgan.com/content/dam/jpm-am-aem/global/en/insights/retirement-insights/guide-to-retirement-u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EDBB-2A20-4DED-9128-325B719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PresentationFormat>15|.DOCX</PresentationFormat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Elles</dc:creator>
  <cp:keywords/>
  <dc:description/>
  <cp:lastModifiedBy>Katie Pierce</cp:lastModifiedBy>
  <cp:revision>4</cp:revision>
  <cp:lastPrinted>2019-04-02T14:00:00Z</cp:lastPrinted>
  <dcterms:created xsi:type="dcterms:W3CDTF">2021-07-08T12:28:00Z</dcterms:created>
  <dcterms:modified xsi:type="dcterms:W3CDTF">2021-07-14T17:14:00Z</dcterms:modified>
</cp:coreProperties>
</file>